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92214" w:rsidRDefault="003C0533">
      <w:pPr>
        <w:jc w:val="both"/>
        <w:rPr>
          <w:b/>
          <w:sz w:val="22"/>
          <w:szCs w:val="22"/>
        </w:rPr>
      </w:pPr>
      <w:r w:rsidRPr="00927628">
        <w:rPr>
          <w:b/>
          <w:sz w:val="22"/>
          <w:szCs w:val="22"/>
        </w:rPr>
        <w:t>DESCRIPCIÓN DEL TRABAJO</w:t>
      </w:r>
    </w:p>
    <w:p w14:paraId="00000002" w14:textId="77777777" w:rsidR="00592214" w:rsidRDefault="003C0533">
      <w:pPr>
        <w:spacing w:after="160"/>
        <w:jc w:val="both"/>
        <w:rPr>
          <w:sz w:val="22"/>
          <w:szCs w:val="22"/>
        </w:rPr>
      </w:pPr>
      <w:r>
        <w:rPr>
          <w:b/>
          <w:sz w:val="22"/>
          <w:szCs w:val="22"/>
        </w:rPr>
        <w:t>OFICIAL DE FINANZAS Y ADMINISTRACIÓN</w:t>
      </w:r>
    </w:p>
    <w:p w14:paraId="00000003" w14:textId="77777777" w:rsidR="00592214" w:rsidRDefault="003C053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Organización: </w:t>
      </w:r>
      <w:r>
        <w:rPr>
          <w:sz w:val="22"/>
          <w:szCs w:val="22"/>
        </w:rPr>
        <w:t>Fundación Indígena FSC (FSC-IF)</w:t>
      </w:r>
    </w:p>
    <w:p w14:paraId="00000004" w14:textId="04AA7981" w:rsidR="00592214" w:rsidRDefault="003C0533">
      <w:pPr>
        <w:tabs>
          <w:tab w:val="left" w:pos="567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Ubicación:  </w:t>
      </w:r>
      <w:r w:rsidR="00C70CF1">
        <w:rPr>
          <w:bCs/>
          <w:sz w:val="22"/>
          <w:szCs w:val="22"/>
        </w:rPr>
        <w:t xml:space="preserve">Quetzaltenango, </w:t>
      </w:r>
      <w:r>
        <w:rPr>
          <w:sz w:val="22"/>
          <w:szCs w:val="22"/>
        </w:rPr>
        <w:t>Guatemala</w:t>
      </w:r>
      <w:r>
        <w:rPr>
          <w:sz w:val="22"/>
          <w:szCs w:val="22"/>
        </w:rPr>
        <w:tab/>
      </w:r>
    </w:p>
    <w:p w14:paraId="00000005" w14:textId="0E881905" w:rsidR="00592214" w:rsidRPr="00BE71CB" w:rsidRDefault="003C0533" w:rsidP="00BE71CB">
      <w:pPr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Informando a: </w:t>
      </w:r>
      <w:r w:rsidR="00FE1582">
        <w:rPr>
          <w:sz w:val="22"/>
          <w:szCs w:val="22"/>
        </w:rPr>
        <w:t>Director de Finanzas y Administración (FAM)</w:t>
      </w:r>
      <w:r w:rsidR="00B51DF7">
        <w:rPr>
          <w:sz w:val="22"/>
          <w:szCs w:val="22"/>
        </w:rPr>
        <w:t xml:space="preserve"> y </w:t>
      </w:r>
      <w:r w:rsidR="00C42182" w:rsidRPr="00C42182">
        <w:rPr>
          <w:sz w:val="22"/>
          <w:szCs w:val="22"/>
        </w:rPr>
        <w:t>Líder del Programa I-WEE para Guatemala, Honduras y El Salvador.</w:t>
      </w:r>
    </w:p>
    <w:p w14:paraId="00000006" w14:textId="7BAE1A6A" w:rsidR="00592214" w:rsidRDefault="003C053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Porcentaje de trabajo: </w:t>
      </w:r>
      <w:r>
        <w:rPr>
          <w:sz w:val="22"/>
          <w:szCs w:val="22"/>
        </w:rPr>
        <w:t>100%.</w:t>
      </w:r>
    </w:p>
    <w:p w14:paraId="47397155" w14:textId="01F80A9A" w:rsidR="00907322" w:rsidRDefault="00907322" w:rsidP="0090732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Fecha prevista de inicio: </w:t>
      </w:r>
      <w:r w:rsidR="00473B4E">
        <w:rPr>
          <w:sz w:val="22"/>
          <w:szCs w:val="22"/>
        </w:rPr>
        <w:t xml:space="preserve">Septiembre </w:t>
      </w:r>
      <w:r w:rsidR="008971C9">
        <w:rPr>
          <w:sz w:val="22"/>
          <w:szCs w:val="22"/>
        </w:rPr>
        <w:t>20</w:t>
      </w:r>
      <w:r w:rsidR="00473B4E">
        <w:rPr>
          <w:sz w:val="22"/>
          <w:szCs w:val="22"/>
        </w:rPr>
        <w:t xml:space="preserve"> del 2022</w:t>
      </w:r>
    </w:p>
    <w:p w14:paraId="00000008" w14:textId="77777777" w:rsidR="00592214" w:rsidRDefault="00592214">
      <w:pPr>
        <w:jc w:val="both"/>
        <w:rPr>
          <w:sz w:val="22"/>
          <w:szCs w:val="22"/>
        </w:rPr>
      </w:pPr>
    </w:p>
    <w:p w14:paraId="00000009" w14:textId="77777777" w:rsidR="00592214" w:rsidRDefault="003C0533">
      <w:pPr>
        <w:spacing w:after="16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DESCRIPCIÓN DE LA ORGANIZACIÓN</w:t>
      </w:r>
    </w:p>
    <w:p w14:paraId="0000000A" w14:textId="43F204D3" w:rsidR="00592214" w:rsidRDefault="003C0533">
      <w:pPr>
        <w:spacing w:after="1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El FSC (Forest Stewardship Council) ha establecido una oficina operativa para el Comité Permanente de Pueblos Indígenas (PIPC). En 2019 se estableció la Fundación Indígena</w:t>
      </w:r>
      <w:r w:rsidR="001E3459">
        <w:rPr>
          <w:color w:val="000000"/>
          <w:sz w:val="22"/>
          <w:szCs w:val="22"/>
        </w:rPr>
        <w:t xml:space="preserve"> FSC</w:t>
      </w:r>
      <w:r>
        <w:rPr>
          <w:color w:val="000000"/>
          <w:sz w:val="22"/>
          <w:szCs w:val="22"/>
        </w:rPr>
        <w:t xml:space="preserve"> (FSC-IF) como una fundación de interés privado de acuerdo con la Ley Nº 25 del 12 de junio de 1995 de la República de Panamá. La misión de la Fundación Indígena </w:t>
      </w:r>
      <w:r w:rsidR="001E3459">
        <w:rPr>
          <w:color w:val="000000"/>
          <w:sz w:val="22"/>
          <w:szCs w:val="22"/>
        </w:rPr>
        <w:t xml:space="preserve">FSC </w:t>
      </w:r>
      <w:r>
        <w:rPr>
          <w:color w:val="000000"/>
          <w:sz w:val="22"/>
          <w:szCs w:val="22"/>
        </w:rPr>
        <w:t>es desbloquear el entorno propicio para fortalecer alianzas con los Pueblos Indígenas y promover soluciones sostenibles basadas en los bosques dentro de 300 millones de hectáreas de bosques indígenas en el planeta. La visión es que el valor global de los Pueblos Indígenas y sus derechos, medios de vida, servicios ecosistémicos y capital natural y territorios sean reconocidos e incorporados en los sistemas forestales, el cambio climático y los sistemas de mercado.</w:t>
      </w:r>
    </w:p>
    <w:p w14:paraId="0000000B" w14:textId="77777777" w:rsidR="00592214" w:rsidRDefault="00592214">
      <w:pPr>
        <w:jc w:val="both"/>
        <w:rPr>
          <w:b/>
          <w:sz w:val="20"/>
          <w:szCs w:val="20"/>
        </w:rPr>
      </w:pPr>
    </w:p>
    <w:p w14:paraId="0000000C" w14:textId="77777777" w:rsidR="00592214" w:rsidRDefault="003C0533">
      <w:pPr>
        <w:spacing w:after="16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ESTRATEGIA DE EMPODERAMIENTO ECONÓMICO DE LA MUJERES Y NIÑAS INDÍGENAS, I-WEE</w:t>
      </w:r>
    </w:p>
    <w:p w14:paraId="0000000D" w14:textId="77777777" w:rsidR="00592214" w:rsidRDefault="003C0533">
      <w:pPr>
        <w:spacing w:after="1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Los países de Guatemala, Honduras y El Salvador se encuentran actualmente enfrentando el incremento de la crisis migratoria y humanitaria en toda la región. La inestabilidad económica y política, la violencia, el desplazamiento a causa de los efectos de la intensificación de los eventos climatológico, la falta de mecanismos inclusivos para incorporar a los Pueblos Indígenas y las mujeres en las políticas nacionales de desarrollo, y el aumento del empobrecimiento, se encuentran entre las muchas causas de esta crisis, y afectan de manera desproporcionada a las mujeres y las niñas de estos países. </w:t>
      </w:r>
    </w:p>
    <w:p w14:paraId="37C17EB9" w14:textId="77777777" w:rsidR="00AA7986" w:rsidRDefault="00AA7986" w:rsidP="00AA7986">
      <w:pPr>
        <w:spacing w:after="1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 el objetivo de reforzar el enfoque para la promoción de los derechos, las capacidades y el empoderamiento económico de las mujeres y las niñas en las comunidades Indígenas, la Fundación Indígena del FSC (FSC-IF) trabajará en la implementación de la Estrategia de Empoderamiento Económico para las Mujeres y Niñas Indígenas (I-WEE), financiada por la USAID</w:t>
      </w:r>
      <w:r w:rsidRPr="00AF6553">
        <w:rPr>
          <w:color w:val="000000"/>
          <w:sz w:val="22"/>
          <w:szCs w:val="22"/>
        </w:rPr>
        <w:t>/Washington</w:t>
      </w:r>
      <w:r>
        <w:rPr>
          <w:color w:val="000000"/>
          <w:sz w:val="22"/>
          <w:szCs w:val="22"/>
        </w:rPr>
        <w:t xml:space="preserve"> y FSC. Las actividades de la estrategia se desarrollarán con socios multisectoriales, con el fin de fortalecer la capacidad de resiliencia contra los impulsores subyacentes del desplazamiento humanitario y del aumento de la pobreza, generando un mayor impacto positivo a nivel social, económico y ambiental para las mujeres y niñas Indígenas, y las comunidades en las que ellas habitan. </w:t>
      </w:r>
    </w:p>
    <w:p w14:paraId="15275C7F" w14:textId="77777777" w:rsidR="00AA7986" w:rsidRDefault="00AA7986" w:rsidP="00AA7986">
      <w:pPr>
        <w:spacing w:after="1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Estas actividades se enmarcan en los siguientes tres objetivos incorporando el enfoque de género:</w:t>
      </w:r>
    </w:p>
    <w:p w14:paraId="00000010" w14:textId="22142D16" w:rsidR="00592214" w:rsidRDefault="00AA7986" w:rsidP="00AA7986">
      <w:pPr>
        <w:spacing w:after="16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Objetivo 1:</w:t>
      </w:r>
      <w:r>
        <w:rPr>
          <w:color w:val="000000"/>
          <w:sz w:val="22"/>
          <w:szCs w:val="22"/>
        </w:rPr>
        <w:t xml:space="preserve"> Organizar y convenir un Programa de Desarrollo de Capacidades para las organizaciones de Pueblos Indígenas, incluyendo un programa específico para fortalecer las habilidades técnicas, políticas, de liderazgo y empresariales de las mujeres y niñas Indígenas, promoviendo un enfoque basado en la inclusión para incorporar sus derechos, necesidades y contribuciones dentro y fuera de las comunidades Indígenas en Guatemala, Honduras y El Salvador.</w:t>
      </w:r>
    </w:p>
    <w:p w14:paraId="00000011" w14:textId="77777777" w:rsidR="00592214" w:rsidRDefault="003C0533">
      <w:pPr>
        <w:spacing w:after="16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Objetivo 2:</w:t>
      </w:r>
      <w:r>
        <w:rPr>
          <w:color w:val="000000"/>
          <w:sz w:val="22"/>
          <w:szCs w:val="22"/>
        </w:rPr>
        <w:t xml:space="preserve"> Fomentar un entorno propicio y favorable para la participación efectiva de los Pueblos Indígenas, y la toma de decisiones conjunta en los asuntos que les afectan, brindando apoyo específico para que las mujeres Indígenas participen en plataformas de diálogo para influir en las inversiones públicas y eliminar los barreras sociales, legales y normativas, para su empoderamiento social y económico.</w:t>
      </w:r>
    </w:p>
    <w:p w14:paraId="00000012" w14:textId="77777777" w:rsidR="00592214" w:rsidRDefault="003C0533">
      <w:pPr>
        <w:spacing w:after="16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Objetivo 3:</w:t>
      </w:r>
      <w:r>
        <w:rPr>
          <w:color w:val="000000"/>
          <w:sz w:val="22"/>
          <w:szCs w:val="22"/>
        </w:rPr>
        <w:t xml:space="preserve"> Promover el desarrollo sostenible de los Pueblos Indígenas basado en procesos y sistemas propios y ancestrales, con un enfoque específico en el apoyo a las empresas comunitarias lideradas por mujeres Indígenas y el empoderamiento económico de las mujeres Indígenas y sus comunidades a través del fortalecimiento de capacidades y habilidades, la generación de alianzas con el sector privado, la inclusión digital y la gestión sostenible de los recursos.</w:t>
      </w:r>
    </w:p>
    <w:p w14:paraId="00000013" w14:textId="77777777" w:rsidR="00592214" w:rsidRDefault="003C0533">
      <w:pPr>
        <w:spacing w:after="1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La implementación iniciará en Guatemala en los siguientes municipios priorizados:</w:t>
      </w:r>
    </w:p>
    <w:p w14:paraId="00000014" w14:textId="77777777" w:rsidR="00592214" w:rsidRDefault="00592214">
      <w:pPr>
        <w:spacing w:line="276" w:lineRule="auto"/>
        <w:jc w:val="both"/>
        <w:rPr>
          <w:sz w:val="22"/>
          <w:szCs w:val="22"/>
        </w:rPr>
      </w:pPr>
    </w:p>
    <w:tbl>
      <w:tblPr>
        <w:tblStyle w:val="a"/>
        <w:tblW w:w="78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79"/>
        <w:gridCol w:w="4508"/>
      </w:tblGrid>
      <w:tr w:rsidR="00592214" w14:paraId="79556FA7" w14:textId="77777777">
        <w:trPr>
          <w:jc w:val="center"/>
        </w:trPr>
        <w:tc>
          <w:tcPr>
            <w:tcW w:w="3379" w:type="dxa"/>
            <w:shd w:val="clear" w:color="auto" w:fill="C60000"/>
          </w:tcPr>
          <w:p w14:paraId="00000015" w14:textId="77777777" w:rsidR="00592214" w:rsidRDefault="003C0533">
            <w:pPr>
              <w:spacing w:line="276" w:lineRule="auto"/>
              <w:jc w:val="both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Departamento</w:t>
            </w:r>
          </w:p>
        </w:tc>
        <w:tc>
          <w:tcPr>
            <w:tcW w:w="4508" w:type="dxa"/>
            <w:shd w:val="clear" w:color="auto" w:fill="C60000"/>
          </w:tcPr>
          <w:p w14:paraId="00000016" w14:textId="77777777" w:rsidR="00592214" w:rsidRDefault="003C0533">
            <w:pPr>
              <w:spacing w:line="276" w:lineRule="auto"/>
              <w:jc w:val="both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Municipio</w:t>
            </w:r>
          </w:p>
        </w:tc>
      </w:tr>
      <w:tr w:rsidR="00592214" w14:paraId="5DA94B7C" w14:textId="77777777">
        <w:trPr>
          <w:jc w:val="center"/>
        </w:trPr>
        <w:tc>
          <w:tcPr>
            <w:tcW w:w="3379" w:type="dxa"/>
          </w:tcPr>
          <w:p w14:paraId="00000017" w14:textId="77777777" w:rsidR="00592214" w:rsidRDefault="003C0533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Totonicapán</w:t>
            </w:r>
          </w:p>
        </w:tc>
        <w:tc>
          <w:tcPr>
            <w:tcW w:w="4508" w:type="dxa"/>
          </w:tcPr>
          <w:p w14:paraId="00000018" w14:textId="77777777" w:rsidR="00592214" w:rsidRDefault="003C053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San Bartolo, Aguas Calientes, Totonicapán, Momostenango y San Cristóbal Totonicapán. </w:t>
            </w:r>
          </w:p>
        </w:tc>
      </w:tr>
      <w:tr w:rsidR="00592214" w14:paraId="42C1AA97" w14:textId="77777777">
        <w:trPr>
          <w:jc w:val="center"/>
        </w:trPr>
        <w:tc>
          <w:tcPr>
            <w:tcW w:w="3379" w:type="dxa"/>
          </w:tcPr>
          <w:p w14:paraId="00000019" w14:textId="77777777" w:rsidR="00592214" w:rsidRDefault="003C0533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Quetzaltenango</w:t>
            </w:r>
          </w:p>
        </w:tc>
        <w:tc>
          <w:tcPr>
            <w:tcW w:w="4508" w:type="dxa"/>
          </w:tcPr>
          <w:p w14:paraId="0000001A" w14:textId="77777777" w:rsidR="00592214" w:rsidRDefault="003C053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Quetzaltenango, San Miguel Sigüilá y Cajolá  </w:t>
            </w:r>
          </w:p>
        </w:tc>
      </w:tr>
    </w:tbl>
    <w:p w14:paraId="0000001B" w14:textId="77777777" w:rsidR="00592214" w:rsidRDefault="00592214">
      <w:pPr>
        <w:spacing w:after="160"/>
        <w:jc w:val="both"/>
        <w:rPr>
          <w:color w:val="000000"/>
          <w:sz w:val="22"/>
          <w:szCs w:val="22"/>
        </w:rPr>
      </w:pPr>
    </w:p>
    <w:p w14:paraId="0000001C" w14:textId="77777777" w:rsidR="00592214" w:rsidRDefault="003C0533">
      <w:pPr>
        <w:jc w:val="both"/>
        <w:rPr>
          <w:b/>
          <w:sz w:val="20"/>
          <w:szCs w:val="20"/>
        </w:rPr>
      </w:pPr>
      <w:r>
        <w:rPr>
          <w:color w:val="000000"/>
          <w:sz w:val="22"/>
          <w:szCs w:val="22"/>
        </w:rPr>
        <w:t>Para el caso de Honduras y El Salvador, las acciones y áreas geográficas de intervención, serán co-creadas en una fecha posterior.</w:t>
      </w:r>
    </w:p>
    <w:p w14:paraId="0000001D" w14:textId="77777777" w:rsidR="00592214" w:rsidRDefault="00592214">
      <w:pPr>
        <w:jc w:val="both"/>
        <w:rPr>
          <w:b/>
          <w:sz w:val="22"/>
          <w:szCs w:val="22"/>
        </w:rPr>
      </w:pPr>
    </w:p>
    <w:p w14:paraId="0000001E" w14:textId="77777777" w:rsidR="00592214" w:rsidRDefault="003C053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OBJETIVOS DEL PUESTO</w:t>
      </w:r>
    </w:p>
    <w:p w14:paraId="0000001F" w14:textId="77777777" w:rsidR="00592214" w:rsidRDefault="003C0533">
      <w:pPr>
        <w:jc w:val="both"/>
        <w:rPr>
          <w:sz w:val="22"/>
          <w:szCs w:val="22"/>
        </w:rPr>
      </w:pPr>
      <w:r>
        <w:rPr>
          <w:sz w:val="22"/>
          <w:szCs w:val="22"/>
        </w:rPr>
        <w:t>El Oficial de Finanzas y Administración (FAO) dirigirá todas las actividades financieras y administrativas relacionadas con los programas de FSC-IF en Guatemala, apoyando al mismo tiempo al Equipo Técnico de FSC-IF en la oficina principal. Bajo la supervisión directa del Director de Finanzas y Administración (FAM), proporcionará un apoyo completo a los aspectos financieros y administrativos del Programa relacionados con USAID, la FSC-IF y sus programas, de acuerdo con las políticas y procedimientos de USAID, incluyendo la gestión de la colaboración con las organizaciones de los Pueblos Indígenas, las partes interesadas de los sectores público y privado, y los socios del programa en los países objetivo.</w:t>
      </w:r>
    </w:p>
    <w:p w14:paraId="00000020" w14:textId="77777777" w:rsidR="00592214" w:rsidRDefault="00592214">
      <w:pPr>
        <w:jc w:val="both"/>
        <w:rPr>
          <w:b/>
          <w:sz w:val="22"/>
          <w:szCs w:val="22"/>
        </w:rPr>
      </w:pPr>
    </w:p>
    <w:p w14:paraId="00000021" w14:textId="77777777" w:rsidR="00592214" w:rsidRDefault="003C053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Responsabilidades clave:</w:t>
      </w:r>
    </w:p>
    <w:p w14:paraId="00000022" w14:textId="77777777" w:rsidR="00592214" w:rsidRDefault="003C05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Dirigir todas las operaciones financieras y administrativas diarias de los programas de FSC-IF en Guatemala para el uso apropiado de los recursos financieros de los programas con la adhesión a las políticas de USAID y FSC-IF, los procedimientos financieros y los reglamentos internos y las leyes nacionales asegurando que todo el registro es compatible con la auditoría, la organización y los requisitos de USAID.</w:t>
      </w:r>
    </w:p>
    <w:p w14:paraId="00000023" w14:textId="77777777" w:rsidR="00592214" w:rsidRDefault="003C05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Gestionar todos los procesos administrativos de Guatemala y los mecanismos financieros para el seguimiento de los gastos basados en los planes de trabajo, proyectos y contratos aprobados, asegurando el cumplimiento y la coherencia con todos los procedimientos y políticas financieras, así como con los términos y condiciones de los contratos de USAID y FSC-IF.</w:t>
      </w:r>
    </w:p>
    <w:p w14:paraId="00000024" w14:textId="77777777" w:rsidR="00592214" w:rsidRDefault="003C05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Garantizar el cumplimiento de las políticas y procedimientos de contratación, incluida la gestión de proveedores y la garantía de la mejor relación calidad-precio.</w:t>
      </w:r>
    </w:p>
    <w:p w14:paraId="00000025" w14:textId="77777777" w:rsidR="00592214" w:rsidRDefault="003C05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lastRenderedPageBreak/>
        <w:t>Gestionar todos los aspectos de los contratos y subcontratos, incluido el cumplimiento de los procedimientos de gestión de contratos y la coordinación con las organizaciones beneficiarias y los proveedores.</w:t>
      </w:r>
    </w:p>
    <w:p w14:paraId="00000026" w14:textId="77777777" w:rsidR="00592214" w:rsidRDefault="003C05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Supervisar la función de recursos humanos para los programas de FSC-IF en Guatemala y coordinar con la Oficina de Panamá.</w:t>
      </w:r>
    </w:p>
    <w:p w14:paraId="00000027" w14:textId="77777777" w:rsidR="00592214" w:rsidRDefault="003C05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Preparar los comprobantes de pago, incluyendo toda la documentación requerida.</w:t>
      </w:r>
    </w:p>
    <w:p w14:paraId="00000028" w14:textId="77777777" w:rsidR="00592214" w:rsidRDefault="003C05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Preparar informes financieros para garantizar la calidad efectiva y los estándares requeridos por los protocolos, procedimientos, políticas y requisitos de USAID y la FSC-IF.</w:t>
      </w:r>
    </w:p>
    <w:p w14:paraId="00000029" w14:textId="77777777" w:rsidR="00592214" w:rsidRDefault="003C05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Cumplimiento de todos los protocolos financieros, administrativos y de la FSC-IF de todas las operaciones de sus programas en Guatemala, incluyendo los registros y cuentas de las transacciones diarias, asegurando la exactitud e integridad de los archivos y la documentación de apoyo que sirva como evidencia de las transacciones para fines de auditoría.</w:t>
      </w:r>
    </w:p>
    <w:p w14:paraId="0000002A" w14:textId="77777777" w:rsidR="00592214" w:rsidRDefault="003C05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Orientar y coordinar todas las cuestiones de cumplimiento legal de Guatemala relacionadas con sus programas.</w:t>
      </w:r>
    </w:p>
    <w:p w14:paraId="0000002B" w14:textId="77777777" w:rsidR="00592214" w:rsidRDefault="003C05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Gestionar el día a día para garantizar la responsabilidad del presupuesto, los resultados y los planes de trabajo del Programa, trabajando con la FSC-IF, los donantes, los socios, los contratistas y los beneficiarios, así como con el personal de sus programas.</w:t>
      </w:r>
    </w:p>
    <w:p w14:paraId="0000002C" w14:textId="77777777" w:rsidR="00592214" w:rsidRDefault="00592214">
      <w:pPr>
        <w:spacing w:before="100" w:after="100"/>
        <w:jc w:val="both"/>
        <w:rPr>
          <w:b/>
          <w:color w:val="111111"/>
          <w:sz w:val="22"/>
          <w:szCs w:val="22"/>
        </w:rPr>
      </w:pPr>
    </w:p>
    <w:p w14:paraId="0000002D" w14:textId="77777777" w:rsidR="00592214" w:rsidRDefault="003C0533">
      <w:pPr>
        <w:spacing w:before="100" w:after="100"/>
        <w:jc w:val="both"/>
        <w:rPr>
          <w:b/>
          <w:color w:val="111111"/>
          <w:sz w:val="22"/>
          <w:szCs w:val="22"/>
        </w:rPr>
      </w:pPr>
      <w:r>
        <w:rPr>
          <w:b/>
          <w:color w:val="111111"/>
          <w:sz w:val="22"/>
          <w:szCs w:val="22"/>
        </w:rPr>
        <w:t>ÁREAS CLAVE DE LOS REQUISITOS:</w:t>
      </w:r>
    </w:p>
    <w:p w14:paraId="0000002E" w14:textId="77777777" w:rsidR="00592214" w:rsidRDefault="003C05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/>
        <w:jc w:val="both"/>
        <w:rPr>
          <w:color w:val="111111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Formación: Licenciatura </w:t>
      </w:r>
      <w:r>
        <w:rPr>
          <w:color w:val="000000"/>
          <w:sz w:val="22"/>
          <w:szCs w:val="22"/>
        </w:rPr>
        <w:t>en áreas relacionadas con los negocios, la administración, las finanzas o CPA, o más de 5 años de experiencia directa y relevante;</w:t>
      </w:r>
    </w:p>
    <w:p w14:paraId="0000002F" w14:textId="77777777" w:rsidR="00592214" w:rsidRDefault="003C05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111111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Experiencia: </w:t>
      </w:r>
      <w:r>
        <w:rPr>
          <w:color w:val="000000"/>
          <w:sz w:val="22"/>
          <w:szCs w:val="22"/>
        </w:rPr>
        <w:t>Un mínimo de 3 a 5 años de sólida experiencia en una organización no gubernamental (ONG) internacional - especialmente experiencia con ejecutores financiados por el Gobierno de los Estados Unidos (subvenciones y contratos), con experiencia en gestión sobre el terreno, adquisiciones y cuestiones operativas;</w:t>
      </w:r>
    </w:p>
    <w:p w14:paraId="00000030" w14:textId="77777777" w:rsidR="00592214" w:rsidRDefault="003C0533" w:rsidP="00BE71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27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Gran capacidad de análisis y afinidad por trabajar en un entorno basado en datos.</w:t>
      </w:r>
    </w:p>
    <w:p w14:paraId="00000031" w14:textId="77777777" w:rsidR="00592214" w:rsidRDefault="003C0533" w:rsidP="00BE71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27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Experiencia probada en la gestión financiera de organizaciones.</w:t>
      </w:r>
    </w:p>
    <w:p w14:paraId="00000032" w14:textId="77777777" w:rsidR="00592214" w:rsidRDefault="003C0533" w:rsidP="00BE71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27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 considera que la experiencia en el entorno de la auditoría y/o la presentación de informes a los donantes es una ventaja.</w:t>
      </w:r>
    </w:p>
    <w:p w14:paraId="00000033" w14:textId="77777777" w:rsidR="00592214" w:rsidRDefault="003C0533" w:rsidP="00BE71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27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Se valorará la familiaridad con proyectos o programas internacionales orientados a los pueblos indígenas y/o comunidades locales en América Latina, África o Asia. </w:t>
      </w:r>
    </w:p>
    <w:p w14:paraId="00000034" w14:textId="77777777" w:rsidR="00592214" w:rsidRDefault="003C0533" w:rsidP="00BE71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27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Demostrar conciencia cultural y sensibilidad ante la diversidad de valores, puntos de vista y enfoques de las cuestiones pertinentes para los pueblos indígenas.</w:t>
      </w:r>
    </w:p>
    <w:p w14:paraId="00000035" w14:textId="0F78497C" w:rsidR="00592214" w:rsidRDefault="003C05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111111"/>
          <w:sz w:val="22"/>
          <w:szCs w:val="22"/>
        </w:rPr>
      </w:pPr>
      <w:r>
        <w:rPr>
          <w:b/>
          <w:color w:val="000000"/>
          <w:sz w:val="22"/>
          <w:szCs w:val="22"/>
        </w:rPr>
        <w:t>Conocimientos de software:</w:t>
      </w:r>
      <w:r>
        <w:rPr>
          <w:color w:val="000000"/>
          <w:sz w:val="22"/>
          <w:szCs w:val="22"/>
        </w:rPr>
        <w:t xml:space="preserve"> Alto dominio de Windows, MS Office, herramientas de comunicación (Zoom, Teams, Google Meet, etc), y dominio de la comunicación oral y escrita en inglés.</w:t>
      </w:r>
    </w:p>
    <w:p w14:paraId="00000036" w14:textId="77777777" w:rsidR="00592214" w:rsidRDefault="003C05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111111"/>
          <w:sz w:val="22"/>
          <w:szCs w:val="22"/>
        </w:rPr>
      </w:pPr>
      <w:r>
        <w:rPr>
          <w:b/>
          <w:color w:val="111111"/>
          <w:sz w:val="22"/>
          <w:szCs w:val="22"/>
        </w:rPr>
        <w:t>Dominio oral y escrito</w:t>
      </w:r>
      <w:r>
        <w:rPr>
          <w:color w:val="111111"/>
          <w:sz w:val="22"/>
          <w:szCs w:val="22"/>
        </w:rPr>
        <w:t>: Conocimientos de inglés y español</w:t>
      </w:r>
      <w:r>
        <w:rPr>
          <w:color w:val="000000"/>
          <w:sz w:val="22"/>
          <w:szCs w:val="22"/>
        </w:rPr>
        <w:t>. Se valorará el dominio del francés.</w:t>
      </w:r>
    </w:p>
    <w:p w14:paraId="00000037" w14:textId="77777777" w:rsidR="00592214" w:rsidRDefault="003C05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111111"/>
          <w:sz w:val="22"/>
          <w:szCs w:val="22"/>
        </w:rPr>
      </w:pPr>
      <w:r>
        <w:rPr>
          <w:b/>
          <w:color w:val="000000"/>
          <w:sz w:val="22"/>
          <w:szCs w:val="22"/>
        </w:rPr>
        <w:t>Habilidades organizativas:</w:t>
      </w:r>
      <w:r>
        <w:rPr>
          <w:color w:val="000000"/>
          <w:sz w:val="22"/>
          <w:szCs w:val="22"/>
        </w:rPr>
        <w:t xml:space="preserve"> Debe ser bueno en la priorización, la gestión del tiempo, la atención al detalle, el seguimiento, mantenerse informado con las iniciativas y prioridades de la organización.</w:t>
      </w:r>
    </w:p>
    <w:p w14:paraId="00000038" w14:textId="77777777" w:rsidR="00592214" w:rsidRDefault="003C05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111111"/>
          <w:sz w:val="22"/>
          <w:szCs w:val="22"/>
        </w:rPr>
      </w:pPr>
      <w:r>
        <w:rPr>
          <w:b/>
          <w:color w:val="111111"/>
          <w:sz w:val="22"/>
          <w:szCs w:val="22"/>
        </w:rPr>
        <w:t>Excelente capacidad de gestión de tareas</w:t>
      </w:r>
      <w:r>
        <w:rPr>
          <w:color w:val="111111"/>
          <w:sz w:val="22"/>
          <w:szCs w:val="22"/>
        </w:rPr>
        <w:t xml:space="preserve">: capaz de organizar, coordinar, supervisar y ejecutar tareas y asignaciones. </w:t>
      </w:r>
    </w:p>
    <w:p w14:paraId="00000039" w14:textId="6EAE0399" w:rsidR="00592214" w:rsidRDefault="003C05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111111"/>
          <w:sz w:val="22"/>
          <w:szCs w:val="22"/>
        </w:rPr>
      </w:pPr>
      <w:r>
        <w:rPr>
          <w:b/>
          <w:color w:val="111111"/>
          <w:sz w:val="22"/>
          <w:szCs w:val="22"/>
        </w:rPr>
        <w:t>Excelente capacidad de gestión del tiempo</w:t>
      </w:r>
      <w:r w:rsidR="001F399D">
        <w:rPr>
          <w:b/>
          <w:color w:val="111111"/>
          <w:sz w:val="22"/>
          <w:szCs w:val="22"/>
        </w:rPr>
        <w:t>:</w:t>
      </w:r>
      <w:r>
        <w:rPr>
          <w:b/>
          <w:color w:val="111111"/>
          <w:sz w:val="22"/>
          <w:szCs w:val="22"/>
        </w:rPr>
        <w:t xml:space="preserve"> </w:t>
      </w:r>
      <w:r>
        <w:rPr>
          <w:color w:val="111111"/>
          <w:sz w:val="22"/>
          <w:szCs w:val="22"/>
        </w:rPr>
        <w:t xml:space="preserve">Capaz de cumplir con los plazos y entregar productos con alta calidad y en respuesta a las demandas acordadas y a los plazos generalmente cortos. </w:t>
      </w:r>
    </w:p>
    <w:p w14:paraId="0000003A" w14:textId="7A7C4B94" w:rsidR="00592214" w:rsidRDefault="003C05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111111"/>
          <w:sz w:val="22"/>
          <w:szCs w:val="22"/>
        </w:rPr>
      </w:pPr>
      <w:r>
        <w:rPr>
          <w:b/>
          <w:color w:val="111111"/>
          <w:sz w:val="22"/>
          <w:szCs w:val="22"/>
        </w:rPr>
        <w:lastRenderedPageBreak/>
        <w:t>Fuerte compromiso con la misión y los valores de la FSC-IF</w:t>
      </w:r>
      <w:r w:rsidR="001F399D">
        <w:rPr>
          <w:b/>
          <w:color w:val="111111"/>
          <w:sz w:val="22"/>
          <w:szCs w:val="22"/>
        </w:rPr>
        <w:t>:</w:t>
      </w:r>
      <w:r>
        <w:rPr>
          <w:color w:val="111111"/>
          <w:sz w:val="22"/>
          <w:szCs w:val="22"/>
        </w:rPr>
        <w:t xml:space="preserve"> Demostrar el compromiso con la misión, los valores y las estrategias de la FSC-IF. </w:t>
      </w:r>
    </w:p>
    <w:p w14:paraId="0000003B" w14:textId="6619DBEC" w:rsidR="00592214" w:rsidRDefault="003C05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111111"/>
          <w:sz w:val="22"/>
          <w:szCs w:val="22"/>
        </w:rPr>
      </w:pPr>
      <w:r>
        <w:rPr>
          <w:b/>
          <w:color w:val="111111"/>
          <w:sz w:val="22"/>
          <w:szCs w:val="22"/>
        </w:rPr>
        <w:t>Relaciones personales y comunicaciones eficaces</w:t>
      </w:r>
      <w:r w:rsidR="001F399D">
        <w:rPr>
          <w:b/>
          <w:color w:val="111111"/>
          <w:sz w:val="22"/>
          <w:szCs w:val="22"/>
        </w:rPr>
        <w:t>:</w:t>
      </w:r>
      <w:r>
        <w:rPr>
          <w:color w:val="111111"/>
          <w:sz w:val="22"/>
          <w:szCs w:val="22"/>
        </w:rPr>
        <w:t xml:space="preserve"> Colaborar con equipos externos y más allá de las fronteras, mantener relaciones de trabajo cordiales y comunicaciones internas/externas, y contribuir a esfuerzos de colaboración más amplios.</w:t>
      </w:r>
    </w:p>
    <w:p w14:paraId="0000003C" w14:textId="43953902" w:rsidR="00592214" w:rsidRDefault="003C05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color w:val="111111"/>
          <w:sz w:val="22"/>
          <w:szCs w:val="22"/>
        </w:rPr>
      </w:pPr>
      <w:r>
        <w:rPr>
          <w:b/>
          <w:color w:val="111111"/>
          <w:sz w:val="22"/>
          <w:szCs w:val="22"/>
        </w:rPr>
        <w:t>Administración de la oficina:</w:t>
      </w:r>
      <w:r>
        <w:rPr>
          <w:color w:val="111111"/>
          <w:sz w:val="22"/>
          <w:szCs w:val="22"/>
        </w:rPr>
        <w:t xml:space="preserve"> Capaz de asumir la responsabilidad de todos los aspectos de la planificación, organización, coordinación y mejora de l</w:t>
      </w:r>
      <w:r w:rsidR="00055A3F">
        <w:rPr>
          <w:color w:val="111111"/>
          <w:sz w:val="22"/>
          <w:szCs w:val="22"/>
        </w:rPr>
        <w:t>as</w:t>
      </w:r>
      <w:r>
        <w:rPr>
          <w:color w:val="111111"/>
          <w:sz w:val="22"/>
          <w:szCs w:val="22"/>
        </w:rPr>
        <w:t xml:space="preserve"> actividades de</w:t>
      </w:r>
      <w:r w:rsidR="00055A3F">
        <w:rPr>
          <w:color w:val="111111"/>
          <w:sz w:val="22"/>
          <w:szCs w:val="22"/>
        </w:rPr>
        <w:t xml:space="preserve"> los programas de FSC-IF</w:t>
      </w:r>
      <w:r>
        <w:rPr>
          <w:color w:val="111111"/>
          <w:sz w:val="22"/>
          <w:szCs w:val="22"/>
        </w:rPr>
        <w:t xml:space="preserve">  en Guatemala</w:t>
      </w:r>
      <w:r w:rsidR="00851843">
        <w:rPr>
          <w:color w:val="111111"/>
          <w:sz w:val="22"/>
          <w:szCs w:val="22"/>
        </w:rPr>
        <w:t>.</w:t>
      </w:r>
    </w:p>
    <w:p w14:paraId="0000003D" w14:textId="77777777" w:rsidR="00592214" w:rsidRDefault="00592214">
      <w:pPr>
        <w:tabs>
          <w:tab w:val="left" w:pos="2674"/>
        </w:tabs>
        <w:jc w:val="both"/>
        <w:rPr>
          <w:b/>
          <w:sz w:val="22"/>
          <w:szCs w:val="22"/>
        </w:rPr>
      </w:pPr>
    </w:p>
    <w:p w14:paraId="0000003E" w14:textId="77777777" w:rsidR="00592214" w:rsidRDefault="003C0533">
      <w:pPr>
        <w:tabs>
          <w:tab w:val="left" w:pos="267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CÓMO SOLICITAR</w:t>
      </w:r>
    </w:p>
    <w:p w14:paraId="0000003F" w14:textId="358557F8" w:rsidR="00592214" w:rsidRDefault="003C05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674"/>
        </w:tabs>
        <w:jc w:val="both"/>
        <w:rPr>
          <w:b/>
          <w:color w:val="000000"/>
          <w:sz w:val="22"/>
          <w:szCs w:val="22"/>
        </w:rPr>
      </w:pPr>
      <w:r w:rsidRPr="00473B4E">
        <w:rPr>
          <w:bCs/>
          <w:color w:val="000000"/>
          <w:sz w:val="22"/>
          <w:szCs w:val="22"/>
        </w:rPr>
        <w:t>Por favor enviar su solicitud antes de</w:t>
      </w:r>
      <w:r w:rsidR="00473B4E" w:rsidRPr="00473B4E">
        <w:rPr>
          <w:bCs/>
          <w:color w:val="000000"/>
          <w:sz w:val="22"/>
          <w:szCs w:val="22"/>
        </w:rPr>
        <w:t xml:space="preserve">l </w:t>
      </w:r>
      <w:r w:rsidR="00DB159B">
        <w:rPr>
          <w:bCs/>
          <w:color w:val="000000"/>
          <w:sz w:val="22"/>
          <w:szCs w:val="22"/>
        </w:rPr>
        <w:t>03</w:t>
      </w:r>
      <w:r w:rsidR="00473B4E" w:rsidRPr="00473B4E">
        <w:rPr>
          <w:bCs/>
          <w:color w:val="000000"/>
          <w:sz w:val="22"/>
          <w:szCs w:val="22"/>
        </w:rPr>
        <w:t xml:space="preserve"> de </w:t>
      </w:r>
      <w:r w:rsidR="00DB159B">
        <w:rPr>
          <w:bCs/>
          <w:color w:val="000000"/>
          <w:sz w:val="22"/>
          <w:szCs w:val="22"/>
        </w:rPr>
        <w:t>Septiembre</w:t>
      </w:r>
      <w:r w:rsidR="00473B4E" w:rsidRPr="00473B4E">
        <w:rPr>
          <w:bCs/>
          <w:color w:val="000000"/>
          <w:sz w:val="22"/>
          <w:szCs w:val="22"/>
        </w:rPr>
        <w:t xml:space="preserve"> del 2022</w:t>
      </w:r>
      <w:r>
        <w:rPr>
          <w:color w:val="000000"/>
          <w:sz w:val="22"/>
          <w:szCs w:val="22"/>
        </w:rPr>
        <w:t xml:space="preserve"> (5:00pm Panamá) a </w:t>
      </w:r>
      <w:hyperlink r:id="rId9">
        <w:r>
          <w:rPr>
            <w:color w:val="0563C1"/>
            <w:sz w:val="22"/>
            <w:szCs w:val="22"/>
            <w:u w:val="single"/>
          </w:rPr>
          <w:t>recruitment.fscif@fsc.org:</w:t>
        </w:r>
      </w:hyperlink>
    </w:p>
    <w:p w14:paraId="00000040" w14:textId="77777777" w:rsidR="00592214" w:rsidRDefault="003C053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674"/>
        </w:tabs>
        <w:ind w:left="113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CV (2 páginas como máximo)</w:t>
      </w:r>
    </w:p>
    <w:p w14:paraId="00000041" w14:textId="77777777" w:rsidR="00592214" w:rsidRDefault="003C053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674"/>
        </w:tabs>
        <w:ind w:left="113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Carta de presentación (una página como máximo) que incluya (a) su motivación; (b) propuesta salarial); y (c) dos referencias profesionales (nombre, cargo, organización, correo electrónico y teléfono)</w:t>
      </w:r>
    </w:p>
    <w:p w14:paraId="00000042" w14:textId="77777777" w:rsidR="00592214" w:rsidRDefault="00592214">
      <w:pPr>
        <w:jc w:val="both"/>
        <w:rPr>
          <w:sz w:val="22"/>
          <w:szCs w:val="22"/>
        </w:rPr>
      </w:pPr>
    </w:p>
    <w:sectPr w:rsidR="005922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980" w:right="1440" w:bottom="1440" w:left="1440" w:header="38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F684D" w14:textId="77777777" w:rsidR="00125F8C" w:rsidRDefault="00125F8C">
      <w:r>
        <w:separator/>
      </w:r>
    </w:p>
  </w:endnote>
  <w:endnote w:type="continuationSeparator" w:id="0">
    <w:p w14:paraId="7129420D" w14:textId="77777777" w:rsidR="00125F8C" w:rsidRDefault="0012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BAF4F" w14:textId="77777777" w:rsidR="00927628" w:rsidRDefault="009276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7" w14:textId="77777777" w:rsidR="00592214" w:rsidRDefault="003C0533">
    <w:pPr>
      <w:widowControl w:val="0"/>
      <w:pBdr>
        <w:top w:val="single" w:sz="18" w:space="1" w:color="008000"/>
      </w:pBdr>
      <w:rPr>
        <w:rFonts w:ascii="Arial Narrow" w:eastAsia="Arial Narrow" w:hAnsi="Arial Narrow" w:cs="Arial Narrow"/>
        <w:color w:val="000000"/>
        <w:sz w:val="16"/>
        <w:szCs w:val="16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 xml:space="preserve">Calle Gustavo Lara, Edificio 155, Ciudad del Saber, Clayton, Ancon. Ciudad de Panamá, Panamá. +507 310 2554 ext. 1004 Contacto: </w:t>
    </w:r>
    <w:r>
      <w:rPr>
        <w:rFonts w:ascii="Arial Narrow" w:eastAsia="Arial Narrow" w:hAnsi="Arial Narrow" w:cs="Arial Narrow"/>
        <w:sz w:val="16"/>
        <w:szCs w:val="16"/>
      </w:rPr>
      <w:t xml:space="preserve">fsc.if@fsc.org </w:t>
    </w:r>
  </w:p>
  <w:p w14:paraId="00000048" w14:textId="77777777" w:rsidR="00592214" w:rsidRDefault="0059221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DFDB4" w14:textId="77777777" w:rsidR="00927628" w:rsidRDefault="009276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E88AD" w14:textId="77777777" w:rsidR="00125F8C" w:rsidRDefault="00125F8C">
      <w:r>
        <w:separator/>
      </w:r>
    </w:p>
  </w:footnote>
  <w:footnote w:type="continuationSeparator" w:id="0">
    <w:p w14:paraId="6602FB52" w14:textId="77777777" w:rsidR="00125F8C" w:rsidRDefault="00125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15BFB" w14:textId="77777777" w:rsidR="00927628" w:rsidRDefault="009276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3" w14:textId="77777777" w:rsidR="00592214" w:rsidRDefault="003C05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b/>
        <w:color w:val="000000"/>
        <w:sz w:val="32"/>
        <w:szCs w:val="32"/>
      </w:rPr>
    </w:pPr>
    <w:r>
      <w:rPr>
        <w:color w:val="000000"/>
      </w:rPr>
      <w:t xml:space="preserve"> </w:t>
    </w:r>
  </w:p>
  <w:p w14:paraId="00000044" w14:textId="77777777" w:rsidR="00592214" w:rsidRDefault="003C05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3E7D2E2" wp14:editId="5F91FA5F">
          <wp:simplePos x="0" y="0"/>
          <wp:positionH relativeFrom="column">
            <wp:posOffset>-114299</wp:posOffset>
          </wp:positionH>
          <wp:positionV relativeFrom="paragraph">
            <wp:posOffset>17145</wp:posOffset>
          </wp:positionV>
          <wp:extent cx="1371600" cy="535305"/>
          <wp:effectExtent l="0" t="0" r="0" b="0"/>
          <wp:wrapNone/>
          <wp:docPr id="11" name="image2.png" descr="A close 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close up of a 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535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E3EF948" wp14:editId="50EE3924">
          <wp:simplePos x="0" y="0"/>
          <wp:positionH relativeFrom="column">
            <wp:posOffset>4914900</wp:posOffset>
          </wp:positionH>
          <wp:positionV relativeFrom="paragraph">
            <wp:posOffset>17145</wp:posOffset>
          </wp:positionV>
          <wp:extent cx="960755" cy="427355"/>
          <wp:effectExtent l="0" t="0" r="0" b="0"/>
          <wp:wrapNone/>
          <wp:docPr id="10" name="image1.png" descr="A close 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close up of a logo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0755" cy="427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45" w14:textId="77777777" w:rsidR="00592214" w:rsidRDefault="0059221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00000046" w14:textId="77777777" w:rsidR="00592214" w:rsidRDefault="00592214">
    <w:pPr>
      <w:pBdr>
        <w:top w:val="nil"/>
        <w:left w:val="nil"/>
        <w:bottom w:val="single" w:sz="18" w:space="1" w:color="D2392C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E968C" w14:textId="77777777" w:rsidR="00927628" w:rsidRDefault="009276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517A"/>
    <w:multiLevelType w:val="multilevel"/>
    <w:tmpl w:val="F0B612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FC6B54"/>
    <w:multiLevelType w:val="multilevel"/>
    <w:tmpl w:val="A5FE8610"/>
    <w:lvl w:ilvl="0">
      <w:start w:val="1"/>
      <w:numFmt w:val="bullet"/>
      <w:lvlText w:val="●"/>
      <w:lvlJc w:val="left"/>
      <w:pPr>
        <w:ind w:left="339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41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8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5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2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9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7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4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15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A775803"/>
    <w:multiLevelType w:val="multilevel"/>
    <w:tmpl w:val="7764BF18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E8930F5"/>
    <w:multiLevelType w:val="multilevel"/>
    <w:tmpl w:val="B19402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095191B"/>
    <w:multiLevelType w:val="multilevel"/>
    <w:tmpl w:val="BF6AFD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87255708">
    <w:abstractNumId w:val="3"/>
  </w:num>
  <w:num w:numId="2" w16cid:durableId="1795250058">
    <w:abstractNumId w:val="4"/>
  </w:num>
  <w:num w:numId="3" w16cid:durableId="642200411">
    <w:abstractNumId w:val="2"/>
  </w:num>
  <w:num w:numId="4" w16cid:durableId="1979144297">
    <w:abstractNumId w:val="1"/>
  </w:num>
  <w:num w:numId="5" w16cid:durableId="208615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214"/>
    <w:rsid w:val="00055A3F"/>
    <w:rsid w:val="00085F5D"/>
    <w:rsid w:val="00125F8C"/>
    <w:rsid w:val="001E3459"/>
    <w:rsid w:val="001E777F"/>
    <w:rsid w:val="001F399D"/>
    <w:rsid w:val="0035193F"/>
    <w:rsid w:val="003C0533"/>
    <w:rsid w:val="00407CFC"/>
    <w:rsid w:val="00473B4E"/>
    <w:rsid w:val="00592214"/>
    <w:rsid w:val="00851843"/>
    <w:rsid w:val="008971C9"/>
    <w:rsid w:val="008E5C84"/>
    <w:rsid w:val="00907322"/>
    <w:rsid w:val="00927628"/>
    <w:rsid w:val="00A0311B"/>
    <w:rsid w:val="00AA7986"/>
    <w:rsid w:val="00AD33D4"/>
    <w:rsid w:val="00B51DF7"/>
    <w:rsid w:val="00BD0286"/>
    <w:rsid w:val="00BE71CB"/>
    <w:rsid w:val="00BF1833"/>
    <w:rsid w:val="00C42182"/>
    <w:rsid w:val="00C70CF1"/>
    <w:rsid w:val="00DB159B"/>
    <w:rsid w:val="00E138F3"/>
    <w:rsid w:val="00FE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6A5792"/>
  <w15:docId w15:val="{D946C5FB-F5F0-4D4E-BFCD-F658EC53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MX" w:eastAsia="en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911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11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150"/>
  </w:style>
  <w:style w:type="paragraph" w:styleId="Footer">
    <w:name w:val="footer"/>
    <w:basedOn w:val="Normal"/>
    <w:link w:val="FooterChar"/>
    <w:uiPriority w:val="99"/>
    <w:unhideWhenUsed/>
    <w:rsid w:val="00F911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150"/>
  </w:style>
  <w:style w:type="paragraph" w:styleId="BalloonText">
    <w:name w:val="Balloon Text"/>
    <w:basedOn w:val="Normal"/>
    <w:link w:val="BalloonTextChar"/>
    <w:uiPriority w:val="99"/>
    <w:semiHidden/>
    <w:unhideWhenUsed/>
    <w:rsid w:val="00147D9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D98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509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09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09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9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94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D799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3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SCAddressDetailsGreen">
    <w:name w:val="FSC Address Details Green"/>
    <w:rsid w:val="007E7B95"/>
    <w:rPr>
      <w:rFonts w:ascii="Arial" w:hAnsi="Arial"/>
      <w:color w:val="174127"/>
      <w:sz w:val="16"/>
      <w:lang w:val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C01F0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2485B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recruitment.fscif@fsc.org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uw3jiRF4nKdvJ17zbuGjk8RQxw==">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</go:docsCustomData>
</go:gDocsCustomXmlDataStorage>
</file>

<file path=customXml/itemProps1.xml><?xml version="1.0" encoding="utf-8"?>
<ds:datastoreItem xmlns:ds="http://schemas.openxmlformats.org/officeDocument/2006/customXml" ds:itemID="{A35E0A6F-5B9E-4DF2-A6B3-7B4F41D7F6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1544</Words>
  <Characters>8807</Characters>
  <Application>Microsoft Office Word</Application>
  <DocSecurity>0</DocSecurity>
  <Lines>73</Lines>
  <Paragraphs>20</Paragraphs>
  <ScaleCrop>false</ScaleCrop>
  <Company/>
  <LinksUpToDate>false</LinksUpToDate>
  <CharactersWithSpaces>10331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Francisco Souza</dc:creator>
  <cp:lastModifiedBy>Katherine Coronado</cp:lastModifiedBy>
  <cp:revision>6</cp:revision>
  <dcterms:created xsi:type="dcterms:W3CDTF">2022-07-29T21:38:00Z</dcterms:created>
  <dcterms:modified xsi:type="dcterms:W3CDTF">2022-08-12T15:54:00Z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0x010100FE87D7B0C3783445A97B9DAE206D2C7C</vt:lpwstr>
  </property>
  <property fmtid="{D5CDD505-2E9C-101B-9397-08002B2CF9AE}" pid="3" name="ComplianceAssetId">
    <vt:lpwstr/>
  </property>
  <property fmtid="{D5CDD505-2E9C-101B-9397-08002B2CF9AE}" pid="4" name="_ExtendedDescription">
    <vt:lpwstr/>
  </property>
</Properties>
</file>